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Alex Morgan</w:t>
      </w:r>
    </w:p>
    <w:p>
      <w:pPr>
        <w:pStyle w:val="Subtitle"/>
        <w:jc w:val="center"/>
      </w:pPr>
      <w:r>
        <w:t>Rotterdam, Netherlands | Financial Analyst | Target: ASML — Manufacturing Controller Consolidation and General Reporting</w:t>
      </w:r>
    </w:p>
    <w:p>
      <w:pPr>
        <w:pStyle w:val="Heading1"/>
        <w:pBdr>
          <w:bottom w:val="single" w:sz="6" w:color="252525" w:space="4"/>
        </w:pBdr>
      </w:pPr>
      <w:r>
        <w:t>Summary</w:t>
      </w:r>
    </w:p>
    <w:p>
      <w:pPr>
        <w:keepLines/>
        <w:widowControl/>
        <w:ind w:left="227" w:hanging="227"/>
      </w:pPr>
      <w:r>
        <w:t xml:space="preserve">• </w:t>
      </w:r>
      <w:r>
        <w:t>Financial analyst with 3 years of full-time manufacturing finance experience and an MSc in Business Economics. Experience includes quarterly reforecast support, monthly management reporting, and reporting process improvement.</w:t>
      </w:r>
    </w:p>
    <w:p>
      <w:pPr>
        <w:pStyle w:val="Heading1"/>
        <w:pBdr>
          <w:bottom w:val="single" w:sz="6" w:color="252525" w:space="4"/>
        </w:pBdr>
      </w:pPr>
      <w:r>
        <w:t>Work Experience</w:t>
      </w:r>
    </w:p>
    <w:p>
      <w:pPr>
        <w:keepLines/>
        <w:widowControl/>
        <w:ind w:left="227" w:hanging="227"/>
      </w:pPr>
      <w:r>
        <w:t xml:space="preserve">• </w:t>
      </w:r>
      <w:r>
        <w:t>Financial Analyst | Meridian Components | September 2023–September 2026</w:t>
      </w:r>
    </w:p>
    <w:p>
      <w:pPr>
        <w:keepLines/>
        <w:widowControl/>
        <w:ind w:left="227" w:hanging="227"/>
      </w:pPr>
      <w:r>
        <w:t xml:space="preserve">• </w:t>
      </w:r>
      <w:r>
        <w:t>Supported a quarterly reforecast for a manufacturing site using volume, unit cost, scrap, and overtime drivers. Produced a variance bridge versus budget and reviewed assumptions with operations.</w:t>
      </w:r>
    </w:p>
    <w:p>
      <w:pPr>
        <w:keepLines/>
        <w:widowControl/>
        <w:ind w:left="227" w:hanging="227"/>
      </w:pPr>
      <w:r>
        <w:t xml:space="preserve">• </w:t>
      </w:r>
      <w:r>
        <w:t>Consolidated 8 cost-center files into a monthly management pack with cost-center owners using Power Query and validation checks; reconciled chart-of-account mappings. Reduced pack preparation time from 5 to 3 working days over 6 monthly cycles, a 2-day reduction (40%).</w:t>
      </w:r>
    </w:p>
    <w:p>
      <w:pPr>
        <w:keepLines/>
        <w:widowControl/>
        <w:ind w:left="227" w:hanging="227"/>
      </w:pPr>
      <w:r>
        <w:t xml:space="preserve">• </w:t>
      </w:r>
      <w:r>
        <w:t>Documented quarterly reforecast risks with named owners and next steps.</w:t>
      </w:r>
    </w:p>
    <w:p>
      <w:pPr>
        <w:pStyle w:val="Heading1"/>
        <w:pBdr>
          <w:bottom w:val="single" w:sz="6" w:color="252525" w:space="4"/>
        </w:pBdr>
      </w:pPr>
      <w:r>
        <w:t>Selected Project</w:t>
      </w:r>
    </w:p>
    <w:p>
      <w:pPr>
        <w:keepLines/>
        <w:widowControl/>
        <w:ind w:left="227" w:hanging="227"/>
      </w:pPr>
      <w:r>
        <w:t xml:space="preserve">• </w:t>
      </w:r>
      <w:r>
        <w:t>Supported analysis of a proposed EUR 1.2m equipment investment under base and downside assumptions for utilization, maintenance, demand, and timing. Estimated simple payback periods were 30 and 42 months, respectively. Recommended phased commitment subject to demand milestones.</w:t>
      </w:r>
    </w:p>
    <w:p>
      <w:pPr>
        <w:pStyle w:val="Heading1"/>
        <w:pBdr>
          <w:bottom w:val="single" w:sz="6" w:color="252525" w:space="4"/>
        </w:pBdr>
      </w:pPr>
      <w:r>
        <w:t>Education</w:t>
      </w:r>
    </w:p>
    <w:p>
      <w:pPr>
        <w:keepLines/>
        <w:widowControl/>
        <w:ind w:left="227" w:hanging="227"/>
      </w:pPr>
      <w:r>
        <w:t xml:space="preserve">• </w:t>
      </w:r>
      <w:r>
        <w:t>Master of Science in Business Economics | Full-time | September 2021–June 2023</w:t>
      </w:r>
    </w:p>
    <w:p>
      <w:pPr>
        <w:keepLines/>
        <w:widowControl/>
        <w:ind w:left="227" w:hanging="227"/>
      </w:pPr>
      <w:r>
        <w:t xml:space="preserve">• </w:t>
      </w:r>
      <w:r>
        <w:t>BSc Economics | Completed June 2021</w:t>
      </w:r>
    </w:p>
    <w:p>
      <w:pPr>
        <w:pStyle w:val="Heading1"/>
        <w:pBdr>
          <w:bottom w:val="single" w:sz="6" w:color="252525" w:space="4"/>
        </w:pBdr>
      </w:pPr>
      <w:r>
        <w:t>Tools</w:t>
      </w:r>
    </w:p>
    <w:p>
      <w:pPr>
        <w:keepLines/>
        <w:widowControl/>
        <w:ind w:left="227" w:hanging="227"/>
      </w:pPr>
      <w:r>
        <w:t xml:space="preserve">• </w:t>
      </w:r>
      <w:r>
        <w:t>Excel, Power Query, and SAP reporting extracts.</w:t>
      </w:r>
    </w:p>
    <w:sectPr w:rsidR="00FC693F" w:rsidRPr="0006063C" w:rsidSect="00034616">
      <w:footerReference w:type="default" r:id="rId9"/>
      <w:pgSz w:w="11906" w:h="16838"/>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r>
      <w:rPr>
        <w:sz w:val="18"/>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exact" w:after="40"/>
      <w:snapToGrid w:val="0"/>
    </w:pPr>
    <w:rPr>
      <w:rFonts w:ascii="Times New Roman" w:hAnsi="Times New Roman" w:eastAsia="Songti SC"/>
      <w:i w:val="0"/>
      <w:color w:val="17171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320" w:lineRule="exact"/>
      <w:outlineLvl w:val="0"/>
    </w:pPr>
    <w:rPr>
      <w:rFonts w:cstheme="majorBidi" w:ascii="Arial" w:hAnsi="Arial" w:eastAsia="Arial Unicode MS"/>
      <w:b/>
      <w:bCs/>
      <w:i w:val="0"/>
      <w:color w:val="171717"/>
      <w:sz w:val="24"/>
      <w:szCs w:val="28"/>
    </w:rPr>
  </w:style>
  <w:style w:type="paragraph" w:styleId="Heading2">
    <w:name w:val="heading 2"/>
    <w:basedOn w:val="Normal"/>
    <w:next w:val="Normal"/>
    <w:link w:val="Heading2Char"/>
    <w:uiPriority w:val="9"/>
    <w:unhideWhenUsed/>
    <w:qFormat/>
    <w:rsid w:val="00FC693F"/>
    <w:pPr>
      <w:keepNext/>
      <w:keepLines/>
      <w:spacing w:before="200" w:after="60" w:line="300" w:lineRule="exact"/>
      <w:outlineLvl w:val="1"/>
    </w:pPr>
    <w:rPr>
      <w:rFonts w:cstheme="majorBidi" w:ascii="Arial" w:hAnsi="Arial" w:eastAsia="Arial Unicode MS"/>
      <w:b/>
      <w:bCs/>
      <w:i w:val="0"/>
      <w:color w:val="17171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500" w:lineRule="exact"/>
      <w:contextualSpacing/>
    </w:pPr>
    <w:rPr>
      <w:rFonts w:cstheme="majorBidi" w:ascii="Arial" w:hAnsi="Arial" w:eastAsia="Arial Unicode MS"/>
      <w:b/>
      <w:i w:val="0"/>
      <w:color w:val="17171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line="280" w:lineRule="exact"/>
    </w:pPr>
    <w:rPr>
      <w:rFonts w:cstheme="majorBidi" w:ascii="Times New Roman" w:hAnsi="Times New Roman" w:eastAsia="Songti SC"/>
      <w:i w:val="0"/>
      <w:iCs/>
      <w:color w:val="171717"/>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