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ASML: Manufacturing Controller Consolidation and General Reporting</w:t>
      </w:r>
    </w:p>
    <w:p>
      <w:pPr>
        <w:pStyle w:val="Subtitle"/>
      </w:pPr>
      <w:r>
        <w:t>Alex Morgan | Preparation brief | October 25, 2026 | Job J-00354559</w:t>
      </w:r>
    </w:p>
    <w:p>
      <w:pPr>
        <w:pStyle w:val="Heading1"/>
      </w:pPr>
      <w:r>
        <w:t>Decision overview</w:t>
      </w:r>
    </w:p>
    <w:p>
      <w:pPr>
        <w:keepNext w:val="0"/>
        <w:keepLines/>
        <w:widowControl/>
      </w:pPr>
      <w:r>
        <w:rPr>
          <w:b w:val="0"/>
        </w:rPr>
        <w:t>This role merits consideration if Alex wants to move from supporting manufacturing finance processes toward owning forecast consolidation and coordinating stakeholders worldwide. The main decision is whether the team’s expectations for independent process ownership and planning-system experience are achievable with their current background and the development support available. [S01]</w:t>
      </w:r>
    </w:p>
    <w:p>
      <w:pPr>
        <w:pStyle w:val="Heading1"/>
      </w:pPr>
      <w:r>
        <w:t>Business context and financial-control implications</w:t>
      </w:r>
    </w:p>
    <w:p>
      <w:pPr>
        <w:keepNext w:val="0"/>
        <w:keepLines/>
        <w:widowControl/>
      </w:pPr>
      <w:r>
        <w:rPr>
          <w:b w:val="0"/>
        </w:rPr>
        <w:t>ASML supplies chipmakers with hardware, software, and services for mass production of microchips. Its lithography machines use light to print circuit patterns, and Veldhoven is its global headquarters and largest R&amp;D and manufacturing site. For manufacturing finance, this context makes reliable planning information consequential: consistent assumptions and clear risk reporting can help decision-makers assess operational tradeoffs across a complex technical business. [S02]</w:t>
      </w:r>
    </w:p>
    <w:p>
      <w:pPr>
        <w:pStyle w:val="Heading1"/>
      </w:pPr>
      <w:r>
        <w:t>Responsibilities and reporting relationship</w:t>
      </w:r>
    </w:p>
    <w:p>
      <w:pPr>
        <w:keepNext w:val="0"/>
        <w:keepLines/>
        <w:widowControl/>
      </w:pPr>
      <w:r>
        <w:rPr>
          <w:b w:val="0"/>
        </w:rPr>
        <w:t>The role centers on managing and driving monthly forecasting, consolidating and reporting the forecast, and providing reliable management information. It also serves as the key contact for tooling and process questions from stakeholders worldwide. Financial risks and opportunities must be identified, communicated, monitored, and translated into executable actions, making follow-through an explicit part of the responsibility. [S01]</w:t>
      </w:r>
    </w:p>
    <w:p>
      <w:pPr>
        <w:keepNext w:val="0"/>
        <w:keepLines/>
        <w:widowControl/>
      </w:pPr>
      <w:r>
        <w:rPr>
          <w:b w:val="0"/>
        </w:rPr>
        <w:t>The position reports to the BI&amp;C Global Manufacturing lead. It requires initiating and executing improvements with subject matter experts across planning information, tools, processes, analysis, and organization, while collaborating with and challenging other teams on quality. Influencing without hierarchical authority is an explicit expectation. [S01]</w:t>
      </w:r>
    </w:p>
    <w:p>
      <w:pPr>
        <w:pStyle w:val="Heading1"/>
      </w:pPr>
      <w:r>
        <w:t>Candidate fit and development priorities</w:t>
      </w:r>
    </w:p>
    <w:p>
      <w:pPr>
        <w:keepNext w:val="0"/>
        <w:keepLines/>
        <w:widowControl/>
      </w:pPr>
      <w:r>
        <w:rPr>
          <w:b w:val="0"/>
        </w:rPr>
        <w:t>Alex has a relevant foundation: three years of full-time manufacturing finance experience and a master’s degree in Business Economics. The candidate’s reporting and reforecast work supports a credible fit discussion, but this position requires ownership of monthly forecasting and extensive experience with complex processes and planning applications. SAP BW, SAC, and Spotfire should remain development topics; their established tools are Excel, Power Query, and SAP reporting extracts. [S01]</w:t>
      </w:r>
    </w:p>
    <w:p>
      <w:pPr>
        <w:keepNext w:val="0"/>
        <w:keepLines w:val="0"/>
        <w:widowControl/>
      </w:pPr>
      <w:r>
        <w:rPr>
          <w:b w:val="0"/>
        </w:rPr>
        <w:t>Prepare evidence around three contributions. Consolidating eight cost-center files and reconciling account mappings demonstrates reporting discipline; pack preparation fell from five to three working days over six monthly cycles, a 40% reduction in preparation time, not close duration. The quarterly reforecast used volume, unit cost, scrap, and overtime drivers, without measured forecast-accuracy improvements, savings, or margin gains. Analysis of a proposed EUR 1.2 million equipment investment compared estimated simple paybacks of 30 and 42 months under base and downside assumptions. The phased-commitment recommendation did not establish approval or realized returns.</w:t>
      </w:r>
    </w:p>
    <w:p>
      <w:pPr>
        <w:keepNext w:val="0"/>
        <w:keepLines/>
        <w:widowControl/>
      </w:pPr>
      <w:r>
        <w:rPr>
          <w:b w:val="0"/>
        </w:rPr>
        <w:t>The listing gives 2–3 years in its summary and 1–3 years in its detailed requirements; Alex’s three years fits both. Their supplied history does not establish the preferred high-tech experience within an international public group or extensive planning-application experience. [S01]</w:t>
      </w:r>
    </w:p>
    <w:p>
      <w:pPr>
        <w:pStyle w:val="Heading1"/>
      </w:pPr>
      <w:r>
        <w:t>What to investigate before deciding</w:t>
      </w:r>
    </w:p>
    <w:p>
      <w:pPr>
        <w:keepNext w:val="0"/>
        <w:keepLines/>
        <w:widowControl/>
      </w:pPr>
      <w:r>
        <w:rPr>
          <w:b w:val="0"/>
        </w:rPr>
        <w:t>Clarify team responsibilities, forecast scope, decision rights, deadline pressures, and the balance between recurring reporting and improvement work. ASML describes collaboration, care, training, and coaching as features of its employment offering; investigate how this team puts them into practice. The job is full time, hybrid, based in Veldhoven, and lists no travel. Exact office days and compensation are unspecified; assess the commute from Rotterdam against the actual arrangement. [S01][S03]</w:t>
      </w:r>
    </w:p>
    <w:p>
      <w:pPr>
        <w:pStyle w:val="Heading1"/>
      </w:pPr>
      <w:r>
        <w:t>Three questions to ask</w:t>
      </w:r>
    </w:p>
    <w:p>
      <w:pPr>
        <w:keepNext w:val="0"/>
        <w:keepLines/>
        <w:widowControl/>
      </w:pPr>
      <w:r>
        <w:rPr>
          <w:b w:val="0"/>
        </w:rPr>
        <w:t>Which forecast stages would I own, how are responsibilities divided across the team and worldwide contributors, and what would strong performance look like after six months?</w:t>
      </w:r>
    </w:p>
    <w:p>
      <w:pPr>
        <w:keepNext w:val="0"/>
        <w:keepLines/>
        <w:widowControl/>
      </w:pPr>
      <w:r>
        <w:rPr>
          <w:b w:val="0"/>
        </w:rPr>
        <w:t>Which SAP BW, SAC, or Spotfire capabilities are needed immediately, and what training, coaching, and protected learning time would support development in this team?</w:t>
      </w:r>
    </w:p>
    <w:p>
      <w:pPr>
        <w:keepNext w:val="0"/>
        <w:keepLines/>
        <w:widowControl/>
      </w:pPr>
      <w:r>
        <w:rPr>
          <w:b w:val="0"/>
        </w:rPr>
        <w:t>What are the role’s compensation range and benefit components, and how are office attendance, remote work, and availability during forecasting deadlines arranged?</w:t>
      </w:r>
    </w:p>
    <w:p>
      <w:pPr>
        <w:pStyle w:val="Heading1"/>
      </w:pPr>
      <w:r>
        <w:t>Short preparation plan</w:t>
      </w:r>
    </w:p>
    <w:p>
      <w:pPr>
        <w:keepNext w:val="0"/>
        <w:keepLines/>
        <w:widowControl/>
      </w:pPr>
      <w:r>
        <w:rPr>
          <w:b w:val="0"/>
        </w:rPr>
        <w:t>Build three concise evidence stories covering reporting controls, forecast assumptions, and investment tradeoffs, clearly distinguishing personal contributions from team decisions. Practice explaining a forecast variance and tracing a data inconsistency through account mappings. Outline how to coordinate submissions, resolve exceptions, and track actions in a monthly cycle. Prepare an honest learning agenda for planning applications and ASML’s manufacturing context. [S01][S02]</w:t>
      </w:r>
    </w:p>
    <w:p>
      <w:pPr>
        <w:pStyle w:val="Heading1"/>
      </w:pPr>
      <w:r>
        <w:t>Sources</w:t>
      </w:r>
    </w:p>
    <w:p>
      <w:pPr>
        <w:keepNext w:val="0"/>
        <w:keepLines/>
        <w:widowControl/>
      </w:pPr>
      <w:r>
        <w:rPr>
          <w:b w:val="0"/>
        </w:rPr>
        <w:t>S01 | ASML official job description</w:t>
        <w:br/>
        <w:t>https://www.asml.com/en/careers/find-your-job/manufacturing-controller-consolidation-and-general-reporting-j00354559</w:t>
      </w:r>
    </w:p>
    <w:p>
      <w:pPr>
        <w:keepNext w:val="0"/>
        <w:keepLines/>
        <w:widowControl/>
      </w:pPr>
      <w:r>
        <w:rPr>
          <w:b w:val="0"/>
        </w:rPr>
        <w:t>S02 | About ASML</w:t>
        <w:br/>
        <w:t>https://www.asml.com/en/company/about-asml</w:t>
      </w:r>
    </w:p>
    <w:p>
      <w:pPr>
        <w:keepNext w:val="0"/>
        <w:keepLines/>
        <w:widowControl/>
      </w:pPr>
      <w:r>
        <w:rPr>
          <w:b w:val="0"/>
        </w:rPr>
        <w:t>S03 | Working at ASML</w:t>
        <w:br/>
        <w:t>https://www.asml.com/en/careers/working-at-asml</w:t>
      </w:r>
    </w:p>
    <w:sectPr w:rsidR="00FC693F" w:rsidRPr="0006063C" w:rsidSect="00034616">
      <w:footerReference w:type="default" r:id="rId9"/>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r>
      <w:rPr>
        <w:sz w:val="18"/>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93" w:lineRule="auto" w:after="140"/>
      <w:snapToGrid w:val="0"/>
    </w:pPr>
    <w:rPr>
      <w:rFonts w:ascii="Arial" w:hAnsi="Arial" w:eastAsia="PingFang SC"/>
      <w:i w:val="0"/>
      <w:color w:val="1725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cstheme="majorBidi" w:ascii="Arial" w:hAnsi="Arial" w:eastAsia="PingFang SC"/>
      <w:b/>
      <w:bCs/>
      <w:i w:val="0"/>
      <w:color w:val="17252A"/>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eastAsia="PingFang SC"/>
      <w:b/>
      <w:bCs/>
      <w:i w:val="0"/>
      <w:color w:val="17252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cstheme="majorBidi" w:ascii="Arial" w:hAnsi="Arial" w:eastAsia="PingFang SC"/>
      <w:b/>
      <w:i w:val="0"/>
      <w:color w:val="17252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cstheme="majorBidi" w:ascii="Arial" w:hAnsi="Arial" w:eastAsia="PingFang SC"/>
      <w:i w:val="0"/>
      <w:iCs/>
      <w:color w:val="17252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ASML: Manufacturing Controller Consolidation and General Reporting</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